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лан мероприятий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муниципального автономного учреждения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color w:val="000000"/>
          <w:sz w:val="28"/>
          <w:szCs w:val="28"/>
        </w:rPr>
        <w:t>города Нижневартовска «Центр развития образования»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color w:val="000000"/>
          <w:sz w:val="28"/>
          <w:szCs w:val="28"/>
        </w:rPr>
        <w:t>по профилактике и предупреждению коррупционных правонарушений</w:t>
      </w:r>
      <w:r>
        <w:rPr>
          <w:b/>
          <w:sz w:val="28"/>
          <w:szCs w:val="28"/>
        </w:rPr>
        <w:t xml:space="preserve"> 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на 2025 год</w:t>
      </w:r>
    </w:p>
    <w:tbl>
      <w:tblPr>
        <w:tblW w:w="9686" w:type="dxa"/>
        <w:jc w:val="left"/>
        <w:tblInd w:w="108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769"/>
        <w:gridCol w:w="9"/>
        <w:gridCol w:w="41"/>
        <w:gridCol w:w="4024"/>
        <w:gridCol w:w="1"/>
        <w:gridCol w:w="52"/>
        <w:gridCol w:w="1951"/>
        <w:gridCol w:w="4"/>
        <w:gridCol w:w="5"/>
        <w:gridCol w:w="2829"/>
      </w:tblGrid>
      <w:tr>
        <w:trPr>
          <w:trHeight w:val="631" w:hRule="atLeast"/>
        </w:trPr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выполнения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>
        <w:trPr>
          <w:trHeight w:val="70" w:hRule="atLeast"/>
        </w:trPr>
        <w:tc>
          <w:tcPr>
            <w:tcW w:w="968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FFFFFF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cs="Times New Roman"/>
                <w:b/>
                <w:sz w:val="24"/>
                <w:szCs w:val="24"/>
                <w:highlight w:val="white"/>
                <w:lang w:val="en-US"/>
              </w:rPr>
              <w:t>I</w:t>
            </w:r>
            <w:r>
              <w:rPr>
                <w:rFonts w:cs="Times New Roman"/>
                <w:b/>
                <w:sz w:val="24"/>
                <w:szCs w:val="24"/>
                <w:highlight w:val="white"/>
              </w:rPr>
              <w:t>.</w:t>
            </w:r>
            <w:r>
              <w:rPr>
                <w:rFonts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>Организационно</w:t>
            </w:r>
            <w:r>
              <w:rPr>
                <w:rFonts w:cs="Times New Roman"/>
                <w:bCs/>
                <w:sz w:val="24"/>
                <w:szCs w:val="24"/>
                <w:highlight w:val="white"/>
              </w:rPr>
              <w:t>-</w:t>
            </w: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>правовые и информационно</w:t>
            </w:r>
            <w:r>
              <w:rPr>
                <w:rFonts w:cs="Times New Roman"/>
                <w:bCs/>
                <w:sz w:val="24"/>
                <w:szCs w:val="24"/>
                <w:highlight w:val="white"/>
              </w:rPr>
              <w:t>-</w:t>
            </w: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>просветительские мероприятия</w:t>
            </w:r>
          </w:p>
          <w:p>
            <w:pPr>
              <w:pStyle w:val="Normal"/>
              <w:widowControl w:val="false"/>
              <w:shd w:val="clear" w:color="FFFFFF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>по повышению эффективности антикоррупционной деятельности</w:t>
            </w:r>
          </w:p>
        </w:tc>
      </w:tr>
      <w:tr>
        <w:trPr>
          <w:trHeight w:val="70" w:hRule="atLeast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hd w:val="clear" w:color="FFFFFF" w:fill="FFFF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1.6.</w:t>
            </w:r>
          </w:p>
        </w:tc>
        <w:tc>
          <w:tcPr>
            <w:tcW w:w="40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hd w:val="clear" w:color="FFFFFF" w:fill="FFFFFF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Проверка фактов, указанных в </w:t>
            </w:r>
            <w:r>
              <w:rPr/>
              <w:t>обращениях граждан, объединений граждан, в том числе юридических лиц,</w:t>
            </w:r>
            <w:r>
              <w:rPr>
                <w:highlight w:val="white"/>
              </w:rPr>
              <w:t xml:space="preserve"> о возможных проявлениях коррупции. Принятие мер к профилактике и недопущению в дальнейшем подобных фактов</w:t>
            </w:r>
          </w:p>
        </w:tc>
        <w:tc>
          <w:tcPr>
            <w:tcW w:w="200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hd w:val="clear" w:color="FFFFFF" w:fill="FFFF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по мере выявления сведений</w:t>
            </w:r>
          </w:p>
          <w:p>
            <w:pPr>
              <w:pStyle w:val="ConsPlusNormal"/>
              <w:widowControl w:val="false"/>
              <w:shd w:val="clear" w:color="FFFFFF" w:fill="FFFF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 возможных проявлениях коррупции</w:t>
            </w:r>
          </w:p>
          <w:p>
            <w:pPr>
              <w:pStyle w:val="ConsPlusNormal"/>
              <w:widowControl w:val="false"/>
              <w:shd w:val="clear" w:color="FFFFFF" w:fill="FFFF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и (или) предпосылок</w:t>
            </w:r>
          </w:p>
          <w:p>
            <w:pPr>
              <w:pStyle w:val="ConsPlusNormal"/>
              <w:widowControl w:val="false"/>
              <w:shd w:val="clear" w:color="FFFFFF" w:fill="FFFF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для совершения коррупционных правонарушений</w:t>
            </w:r>
          </w:p>
        </w:tc>
        <w:tc>
          <w:tcPr>
            <w:tcW w:w="28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FFFFFF" w:fill="FFFFFF"/>
              <w:jc w:val="both"/>
              <w:rPr/>
            </w:pPr>
            <w:r>
              <w:rPr/>
              <w:t>Директор</w:t>
            </w:r>
          </w:p>
          <w:p>
            <w:pPr>
              <w:pStyle w:val="ConsPlusNormal"/>
              <w:shd w:val="clear" w:color="FFFFFF" w:fill="FFFFFF"/>
              <w:jc w:val="both"/>
              <w:rPr/>
            </w:pPr>
            <w:r>
              <w:rPr/>
              <w:t>Заместители директора</w:t>
            </w:r>
          </w:p>
          <w:p>
            <w:pPr>
              <w:pStyle w:val="ConsPlusNormal"/>
              <w:shd w:val="clear" w:color="FFFFFF" w:fill="FFFFFF"/>
              <w:jc w:val="both"/>
              <w:rPr/>
            </w:pPr>
            <w:r>
              <w:rPr/>
              <w:t>Ведущий юрисконсульт</w:t>
            </w:r>
          </w:p>
          <w:p>
            <w:pPr>
              <w:pStyle w:val="ConsPlusNormal"/>
              <w:shd w:val="clear" w:color="FFFFFF" w:fill="FFFFFF"/>
              <w:jc w:val="both"/>
              <w:rPr/>
            </w:pPr>
            <w:r>
              <w:rPr/>
              <w:t>Секретарь руководителя</w:t>
            </w:r>
          </w:p>
        </w:tc>
      </w:tr>
      <w:tr>
        <w:trPr>
          <w:trHeight w:val="70" w:hRule="atLeast"/>
        </w:trPr>
        <w:tc>
          <w:tcPr>
            <w:tcW w:w="968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hd w:val="clear" w:color="FFFFFF" w:fill="FFFFFF"/>
              <w:jc w:val="center"/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>IV. Меры по совершенствованию муниципального управления и установлению антикоррупционных механизмов (барьеров)</w:t>
            </w:r>
          </w:p>
        </w:tc>
      </w:tr>
      <w:tr>
        <w:trPr>
          <w:trHeight w:val="70" w:hRule="atLeast"/>
        </w:trPr>
        <w:tc>
          <w:tcPr>
            <w:tcW w:w="968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hd w:val="clear" w:color="FFFFFF" w:fill="FFFFFF"/>
              <w:jc w:val="center"/>
              <w:rPr>
                <w:b/>
                <w:highlight w:val="white"/>
              </w:rPr>
            </w:pPr>
            <w:r>
              <w:rPr>
                <w:b/>
                <w:bCs/>
                <w:highlight w:val="white"/>
              </w:rPr>
              <w:t>4.3. Снижение административных барьеров и повышение доступности муниципальных (государственных) услуг</w:t>
            </w:r>
          </w:p>
        </w:tc>
      </w:tr>
      <w:tr>
        <w:trPr>
          <w:trHeight w:val="70" w:hRule="atLeast"/>
        </w:trPr>
        <w:tc>
          <w:tcPr>
            <w:tcW w:w="81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FFFFFF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>4.3.1.</w:t>
            </w:r>
          </w:p>
        </w:tc>
        <w:tc>
          <w:tcPr>
            <w:tcW w:w="407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hd w:val="clear" w:color="FFFFFF" w:fill="FFFFFF"/>
              <w:jc w:val="both"/>
              <w:rPr>
                <w:highlight w:val="white"/>
              </w:rPr>
            </w:pPr>
            <w:r>
              <w:rPr>
                <w:highlight w:val="white"/>
              </w:rPr>
              <w:t>Предоставление муниципальных (государственных) услуг в электронном виде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постоянно</w:t>
            </w:r>
          </w:p>
        </w:tc>
        <w:tc>
          <w:tcPr>
            <w:tcW w:w="28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140" w:right="141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Специалист по работе с молодежью</w:t>
            </w:r>
          </w:p>
        </w:tc>
      </w:tr>
      <w:tr>
        <w:trPr>
          <w:trHeight w:val="70" w:hRule="atLeast"/>
        </w:trPr>
        <w:tc>
          <w:tcPr>
            <w:tcW w:w="81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hd w:val="clear" w:color="FFFFFF" w:fill="FFFF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4.3.2.</w:t>
            </w:r>
          </w:p>
        </w:tc>
        <w:tc>
          <w:tcPr>
            <w:tcW w:w="407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hd w:val="clear" w:color="FFFFFF" w:fill="FFFFFF"/>
              <w:jc w:val="both"/>
              <w:rPr>
                <w:highlight w:val="white"/>
              </w:rPr>
            </w:pPr>
            <w:r>
              <w:rPr>
                <w:highlight w:val="white"/>
              </w:rPr>
              <w:t>Межведомственное информационное взаимодействие в электронной форме при предоставлении муниципальных (государственных) услуг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постоянно</w:t>
            </w:r>
          </w:p>
        </w:tc>
        <w:tc>
          <w:tcPr>
            <w:tcW w:w="28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142" w:right="141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140" w:right="141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Специалист по работе с молодежью</w:t>
            </w:r>
          </w:p>
        </w:tc>
      </w:tr>
      <w:tr>
        <w:trPr>
          <w:trHeight w:val="70" w:hRule="atLeast"/>
        </w:trPr>
        <w:tc>
          <w:tcPr>
            <w:tcW w:w="81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hd w:val="clear" w:color="FFFFFF" w:fill="FFFF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4.3.3.</w:t>
            </w:r>
          </w:p>
        </w:tc>
        <w:tc>
          <w:tcPr>
            <w:tcW w:w="407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hd w:val="clear" w:color="FFFFFF" w:fill="FFFFFF"/>
              <w:jc w:val="both"/>
              <w:rPr>
                <w:highlight w:val="white"/>
              </w:rPr>
            </w:pPr>
            <w:r>
              <w:rPr>
                <w:highlight w:val="white"/>
              </w:rPr>
              <w:t>Увеличение доли муниципальных (государственных) услуг, предоставляемых через филиал автономного учреждения Ханты-Мансийского автономного округа - Югры «Многофункциональный центр предоставления государственных и муниципальных услуг Югры» в городе Нижневартовске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140" w:right="141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140" w:right="141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Специалист по работе с молодежью</w:t>
            </w:r>
          </w:p>
        </w:tc>
      </w:tr>
      <w:tr>
        <w:trPr>
          <w:trHeight w:val="273" w:hRule="atLeast"/>
        </w:trPr>
        <w:tc>
          <w:tcPr>
            <w:tcW w:w="968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V. Меры по образовательному обеспечению</w:t>
            </w:r>
          </w:p>
        </w:tc>
      </w:tr>
      <w:tr>
        <w:trPr>
          <w:trHeight w:val="273" w:hRule="atLeast"/>
        </w:trPr>
        <w:tc>
          <w:tcPr>
            <w:tcW w:w="81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hd w:val="clear" w:color="FFFFFF" w:fill="FFFF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5.1.</w:t>
            </w:r>
          </w:p>
        </w:tc>
        <w:tc>
          <w:tcPr>
            <w:tcW w:w="407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hd w:val="clear" w:color="FFFFFF" w:fill="FFFFFF"/>
              <w:jc w:val="both"/>
              <w:rPr>
                <w:highlight w:val="white"/>
              </w:rPr>
            </w:pPr>
            <w:r>
              <w:rPr>
                <w:highlight w:val="white"/>
              </w:rPr>
              <w:t>Организация проведения мероприятий по вопросам противодействия коррупции, развития малого и среднего предпринимательства, устранения административных барьеров, препятствующих развитию бизнеса, при участии представителей прокуратуры города, правозащитных организаций, территориальных органов федеральных органов исполнительной власти, предпринимателей города Нижневартовска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постоянно</w:t>
            </w:r>
          </w:p>
        </w:tc>
        <w:tc>
          <w:tcPr>
            <w:tcW w:w="28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>
            <w:pPr>
              <w:pStyle w:val="Normal"/>
              <w:widowControl w:val="false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Заместители директора</w:t>
            </w:r>
          </w:p>
          <w:p>
            <w:pPr>
              <w:pStyle w:val="Normal"/>
              <w:widowControl w:val="false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  <w:p>
            <w:pPr>
              <w:pStyle w:val="Normal"/>
              <w:widowControl w:val="false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кадрам</w:t>
            </w:r>
          </w:p>
          <w:p>
            <w:pPr>
              <w:pStyle w:val="Normal"/>
              <w:widowControl w:val="false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Ведущий юрисконсульт</w:t>
            </w:r>
          </w:p>
        </w:tc>
      </w:tr>
      <w:tr>
        <w:trPr>
          <w:trHeight w:val="273" w:hRule="atLeast"/>
        </w:trPr>
        <w:tc>
          <w:tcPr>
            <w:tcW w:w="968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40" w:before="0" w:after="0"/>
              <w:ind w:hanging="0" w:left="140" w:right="1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VI. Контроль за реализацией мероприятий по профилактике и предупреждению коррупционных правонарушений в муниципальных организациях и организациях, более 50% акций (долей) в уставном капитале которых находится в муниципальной собственности города Нижневартовска</w:t>
            </w:r>
          </w:p>
        </w:tc>
      </w:tr>
      <w:tr>
        <w:trPr>
          <w:trHeight w:val="273" w:hRule="atLeast"/>
        </w:trPr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FFFFFF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>6.1.</w:t>
            </w:r>
          </w:p>
        </w:tc>
        <w:tc>
          <w:tcPr>
            <w:tcW w:w="406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hd w:val="clear" w:color="FFFFFF" w:fill="FFFFFF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Проведение оценки деятельности муниципальных </w:t>
            </w:r>
            <w:r>
              <w:rPr/>
              <w:t xml:space="preserve">организаций и организаций, более 50% акций (долей) в уставном капитале которых находится </w:t>
            </w:r>
            <w:r>
              <w:rPr>
                <w:highlight w:val="white"/>
              </w:rPr>
              <w:t>в муниципальной собственности города Нижневартовска, по соблюдению антикоррупционного законодательства и результатов антикоррупционной работы</w:t>
            </w:r>
          </w:p>
        </w:tc>
        <w:tc>
          <w:tcPr>
            <w:tcW w:w="201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hd w:val="clear" w:color="FFFFFF" w:fill="FFFF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ежегодно,</w:t>
            </w:r>
          </w:p>
          <w:p>
            <w:pPr>
              <w:pStyle w:val="ConsPlusNormal"/>
              <w:widowControl w:val="false"/>
              <w:shd w:val="clear" w:color="FFFFFF" w:fill="FFFF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не позднее</w:t>
            </w:r>
          </w:p>
          <w:p>
            <w:pPr>
              <w:pStyle w:val="ConsPlusNormal"/>
              <w:widowControl w:val="false"/>
              <w:shd w:val="clear" w:color="FFFFFF" w:fill="FFFF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 декабря</w:t>
            </w:r>
          </w:p>
          <w:p>
            <w:pPr>
              <w:pStyle w:val="ConsPlusNormal"/>
              <w:widowControl w:val="false"/>
              <w:shd w:val="clear" w:color="FFFFFF" w:fill="FFFFFF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>
            <w:pPr>
              <w:pStyle w:val="Normal"/>
              <w:widowControl w:val="false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Ведущий юрисконсульт</w:t>
            </w:r>
          </w:p>
        </w:tc>
      </w:tr>
    </w:tbl>
    <w:p>
      <w:pPr>
        <w:pStyle w:val="Normal"/>
        <w:shd w:val="clear" w:fill="FFFFFF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sectPr>
      <w:type w:val="nextPage"/>
      <w:pgSz w:w="12240" w:h="15840"/>
      <w:pgMar w:left="1701" w:right="850" w:gutter="0" w:header="0" w:top="850" w:footer="0" w:bottom="85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swiss"/>
    <w:pitch w:val="variable"/>
  </w:font>
  <w:font w:name="Wingdings">
    <w:charset w:val="cc"/>
    <w:family w:val="swiss"/>
    <w:pitch w:val="variable"/>
  </w:font>
  <w:font w:name="Tahoma">
    <w:charset w:val="cc"/>
    <w:family w:val="swiss"/>
    <w:pitch w:val="variable"/>
  </w:font>
  <w:font w:name="DejaVu Sans"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hyphenationZone w:val="360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  <w:bCs/>
      <w:sz w:val="36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9z0">
    <w:name w:val="WW8Num9z0"/>
    <w:qFormat/>
    <w:rPr/>
  </w:style>
  <w:style w:type="character" w:styleId="WW8Num11z0">
    <w:name w:val="WW8Num11z0"/>
    <w:qFormat/>
    <w:rPr/>
  </w:style>
  <w:style w:type="character" w:styleId="WW8Num14z0">
    <w:name w:val="WW8Num14z0"/>
    <w:qFormat/>
    <w:rPr/>
  </w:style>
  <w:style w:type="character" w:styleId="WW8Num16z0">
    <w:name w:val="WW8Num16z0"/>
    <w:qFormat/>
    <w:rPr/>
  </w:style>
  <w:style w:type="character" w:styleId="Style10">
    <w:name w:val="Основной шрифт абзаца"/>
    <w:qFormat/>
    <w:rPr/>
  </w:style>
  <w:style w:type="character" w:styleId="1">
    <w:name w:val="Заголовок 1 Знак"/>
    <w:qFormat/>
    <w:rPr>
      <w:b/>
      <w:bCs/>
      <w:caps/>
      <w:sz w:val="24"/>
      <w:szCs w:val="24"/>
      <w:lang w:val="ru-RU" w:bidi="ar-SA"/>
    </w:rPr>
  </w:style>
  <w:style w:type="character" w:styleId="2">
    <w:name w:val="Заголовок 2 Знак"/>
    <w:qFormat/>
    <w:rPr>
      <w:b/>
      <w:bCs/>
      <w:sz w:val="28"/>
      <w:szCs w:val="24"/>
      <w:lang w:val="ru-RU" w:bidi="ar-SA"/>
    </w:rPr>
  </w:style>
  <w:style w:type="character" w:styleId="3">
    <w:name w:val="Заголовок 3 Знак"/>
    <w:qFormat/>
    <w:rPr>
      <w:b/>
      <w:bCs/>
      <w:sz w:val="36"/>
      <w:szCs w:val="24"/>
      <w:lang w:val="ru-RU" w:bidi="ar-SA"/>
    </w:rPr>
  </w:style>
  <w:style w:type="character" w:styleId="5">
    <w:name w:val="Заголовок 5 Знак"/>
    <w:qFormat/>
    <w:rPr>
      <w:b/>
      <w:bCs/>
      <w:i/>
      <w:iCs/>
      <w:sz w:val="26"/>
      <w:szCs w:val="26"/>
      <w:lang w:val="ru-RU" w:bidi="ar-SA"/>
    </w:rPr>
  </w:style>
  <w:style w:type="character" w:styleId="Style11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2">
    <w:name w:val="Основной текст Знак"/>
    <w:qFormat/>
    <w:rPr>
      <w:sz w:val="24"/>
      <w:szCs w:val="28"/>
      <w:lang w:val="ru-RU"/>
    </w:rPr>
  </w:style>
  <w:style w:type="character" w:styleId="21">
    <w:name w:val="Основной текст 2 Знак"/>
    <w:qFormat/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DejaVu Sans" w:hAnsi="DejaVu Sans" w:eastAsia="Noto Sans" w:cs="Noto Sans"/>
      <w:sz w:val="28"/>
      <w:szCs w:val="28"/>
    </w:rPr>
  </w:style>
  <w:style w:type="paragraph" w:styleId="BodyText">
    <w:name w:val="Body Text"/>
    <w:basedOn w:val="Normal"/>
    <w:pPr>
      <w:jc w:val="both"/>
    </w:pPr>
    <w:rPr>
      <w:szCs w:val="28"/>
      <w:lang w:val="ru-RU"/>
    </w:rPr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/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Tahoma" w:cs="Noto Sans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Noto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Style15">
    <w:name w:val="Обычный (веб)"/>
    <w:basedOn w:val="Normal"/>
    <w:qFormat/>
    <w:pPr>
      <w:spacing w:before="280" w:after="280"/>
    </w:pPr>
    <w:rPr/>
  </w:style>
  <w:style w:type="paragraph" w:styleId="Style16">
    <w:name w:val="Нумерованный список"/>
    <w:basedOn w:val="Normal"/>
    <w:qFormat/>
    <w:pPr>
      <w:spacing w:before="0" w:after="0"/>
      <w:contextualSpacing/>
    </w:pPr>
    <w:rPr/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8">
    <w:name w:val="Абзац списка"/>
    <w:basedOn w:val="Normal"/>
    <w:qFormat/>
    <w:pPr>
      <w:spacing w:before="0" w:after="0"/>
      <w:ind w:hanging="0" w:left="720" w:right="0"/>
      <w:contextualSpacing/>
    </w:pPr>
    <w:rPr/>
  </w:style>
  <w:style w:type="paragraph" w:styleId="22">
    <w:name w:val="Основной текст 2"/>
    <w:basedOn w:val="Normal"/>
    <w:qFormat/>
    <w:pPr>
      <w:spacing w:lineRule="auto" w:line="480" w:before="0" w:after="120"/>
    </w:pPr>
    <w:rPr/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user2">
    <w:name w:val="Содержимое таблицы (user)"/>
    <w:basedOn w:val="Normal"/>
    <w:qFormat/>
    <w:pPr>
      <w:widowControl w:val="false"/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/>
      <w:color w:val="auto"/>
      <w:kern w:val="0"/>
      <w:sz w:val="24"/>
      <w:szCs w:val="24"/>
      <w:lang w:val="ru-RU" w:eastAsia="ru-RU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1542</TotalTime>
  <Application>LibreOffice/25.2.2.2$Windows_X86_64 LibreOffice_project/7370d4be9e3cf6031a51beef54ff3bda878e3fac</Application>
  <AppVersion>15.0000</AppVersion>
  <Pages>2</Pages>
  <Words>293</Words>
  <Characters>2450</Characters>
  <CharactersWithSpaces>2688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2017-01-09T16:16:00Z</dcterms:created>
  <dc:creator>YakovlevaEP</dc:creator>
  <dc:description/>
  <dc:language>ru-RU</dc:language>
  <cp:lastModifiedBy/>
  <cp:lastPrinted>2025-04-23T12:27:20Z</cp:lastPrinted>
  <dcterms:modified xsi:type="dcterms:W3CDTF">2025-05-12T09:21:17Z</dcterms:modified>
  <cp:revision>121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